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AA029B">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AA029B">
              <w:trPr>
                <w:cantSplit/>
                <w:trHeight w:hRule="exact" w:val="7200"/>
              </w:trPr>
              <w:tc>
                <w:tcPr>
                  <w:tcW w:w="7200" w:type="dxa"/>
                </w:tcPr>
                <w:p w:rsidR="00AA029B" w:rsidRDefault="00CE12B1">
                  <w:r>
                    <w:rPr>
                      <w:noProof/>
                      <w:lang w:eastAsia="en-US"/>
                    </w:rPr>
                    <w:drawing>
                      <wp:inline distT="0" distB="0" distL="0" distR="0" wp14:anchorId="2270E422" wp14:editId="243B0751">
                        <wp:extent cx="3310293" cy="4968240"/>
                        <wp:effectExtent l="0" t="0" r="4445" b="3810"/>
                        <wp:docPr id="3" name="Picture 3" descr="http://www.surreyosteopathiccare.co.uk/blog/wp-content/uploads/2013/01/back-to-school-k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reyosteopathiccare.co.uk/blog/wp-content/uploads/2013/01/back-to-school-ki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6472" cy="4977514"/>
                                </a:xfrm>
                                <a:prstGeom prst="rect">
                                  <a:avLst/>
                                </a:prstGeom>
                                <a:noFill/>
                                <a:ln>
                                  <a:noFill/>
                                </a:ln>
                              </pic:spPr>
                            </pic:pic>
                          </a:graphicData>
                        </a:graphic>
                      </wp:inline>
                    </w:drawing>
                  </w:r>
                </w:p>
              </w:tc>
            </w:tr>
            <w:tr w:rsidR="00AA029B" w:rsidTr="00CE12B1">
              <w:trPr>
                <w:trHeight w:hRule="exact" w:val="7020"/>
              </w:trPr>
              <w:tc>
                <w:tcPr>
                  <w:tcW w:w="7200" w:type="dxa"/>
                </w:tcPr>
                <w:p w:rsidR="00AA029B" w:rsidRPr="005B4F40" w:rsidRDefault="005B4F40" w:rsidP="005B4F40">
                  <w:pPr>
                    <w:pStyle w:val="Subtitle"/>
                    <w:jc w:val="center"/>
                    <w:rPr>
                      <w:sz w:val="56"/>
                    </w:rPr>
                  </w:pPr>
                  <w:r w:rsidRPr="005B4F40">
                    <w:rPr>
                      <w:sz w:val="56"/>
                    </w:rPr>
                    <w:t>Spring 201</w:t>
                  </w:r>
                  <w:r w:rsidR="008B750E">
                    <w:rPr>
                      <w:sz w:val="56"/>
                    </w:rPr>
                    <w:t>8</w:t>
                  </w:r>
                </w:p>
                <w:p w:rsidR="00AA029B" w:rsidRPr="005B4F40" w:rsidRDefault="005B4F40" w:rsidP="005B4F40">
                  <w:pPr>
                    <w:pStyle w:val="Title"/>
                    <w:jc w:val="center"/>
                    <w:rPr>
                      <w:sz w:val="44"/>
                    </w:rPr>
                  </w:pPr>
                  <w:r>
                    <w:rPr>
                      <w:sz w:val="44"/>
                    </w:rPr>
                    <w:t>Nature and Needs of Gifted and Talented Students</w:t>
                  </w:r>
                  <w:r w:rsidR="00D746EB">
                    <w:rPr>
                      <w:sz w:val="44"/>
                    </w:rPr>
                    <w:t xml:space="preserve"> (3)</w:t>
                  </w:r>
                </w:p>
                <w:p w:rsidR="00025114" w:rsidRDefault="005B4F40" w:rsidP="005B4F40">
                  <w:pPr>
                    <w:pStyle w:val="Heading1"/>
                    <w:jc w:val="center"/>
                  </w:pPr>
                  <w:r>
                    <w:t xml:space="preserve">EDCI 675 – Nature and Needs of </w:t>
                  </w:r>
                </w:p>
                <w:p w:rsidR="00AA029B" w:rsidRDefault="005B4F40" w:rsidP="005B4F40">
                  <w:pPr>
                    <w:pStyle w:val="Heading1"/>
                    <w:jc w:val="center"/>
                  </w:pPr>
                  <w:r>
                    <w:t>Gifted and Talented Students</w:t>
                  </w:r>
                </w:p>
                <w:p w:rsidR="005B4F40" w:rsidRDefault="005B4F40" w:rsidP="005B4F40">
                  <w:pPr>
                    <w:spacing w:after="0" w:line="240" w:lineRule="auto"/>
                    <w:jc w:val="center"/>
                  </w:pPr>
                  <w:r>
                    <w:t>The course content will include instruction in the methods of identifying gifted students, curriculum models, strategies for differentiating instruction, methods for addressing the affective domain, information on dually exceptional students, and an overview of current issues and trends impacting the field.  Course deliver</w:t>
                  </w:r>
                  <w:r w:rsidR="001F5D53">
                    <w:t>y</w:t>
                  </w:r>
                  <w:r>
                    <w:t xml:space="preserve"> is through classroom presentation and online coursework.</w:t>
                  </w:r>
                </w:p>
                <w:p w:rsidR="005B4F40" w:rsidRDefault="005B4F40" w:rsidP="005B4F40">
                  <w:pPr>
                    <w:spacing w:after="0" w:line="240" w:lineRule="auto"/>
                    <w:jc w:val="center"/>
                  </w:pPr>
                  <w:r>
                    <w:t>(first course in the two-course series)</w:t>
                  </w:r>
                </w:p>
                <w:p w:rsidR="005B4F40" w:rsidRDefault="008B750E" w:rsidP="005B4F40">
                  <w:pPr>
                    <w:spacing w:after="0" w:line="240" w:lineRule="auto"/>
                    <w:jc w:val="center"/>
                    <w:rPr>
                      <w:i/>
                      <w:color w:val="B11A57" w:themeColor="accent1" w:themeShade="BF"/>
                      <w:sz w:val="22"/>
                    </w:rPr>
                  </w:pPr>
                  <w:r>
                    <w:rPr>
                      <w:i/>
                      <w:color w:val="B11A57" w:themeColor="accent1" w:themeShade="BF"/>
                      <w:sz w:val="22"/>
                    </w:rPr>
                    <w:t>Instructor: Sara Newell</w:t>
                  </w:r>
                  <w:bookmarkStart w:id="0" w:name="_GoBack"/>
                  <w:bookmarkEnd w:id="0"/>
                </w:p>
                <w:p w:rsidR="00CE12B1" w:rsidRPr="00CE12B1" w:rsidRDefault="00CE12B1" w:rsidP="005B4F40">
                  <w:pPr>
                    <w:spacing w:after="0" w:line="240" w:lineRule="auto"/>
                    <w:jc w:val="center"/>
                    <w:rPr>
                      <w:i/>
                      <w:color w:val="B11A57" w:themeColor="accent1" w:themeShade="BF"/>
                      <w:sz w:val="22"/>
                    </w:rPr>
                  </w:pPr>
                </w:p>
                <w:p w:rsidR="00AA029B" w:rsidRDefault="005B4F40" w:rsidP="00CE12B1">
                  <w:pPr>
                    <w:jc w:val="center"/>
                  </w:pPr>
                  <w:r>
                    <w:t xml:space="preserve"> </w:t>
                  </w:r>
                  <w:r w:rsidR="00CE12B1" w:rsidRPr="00CE12B1">
                    <w:rPr>
                      <w:noProof/>
                      <w:lang w:eastAsia="en-US"/>
                    </w:rPr>
                    <w:drawing>
                      <wp:inline distT="0" distB="0" distL="0" distR="0" wp14:anchorId="3D699AAD" wp14:editId="175FB9BD">
                        <wp:extent cx="2628900" cy="397846"/>
                        <wp:effectExtent l="0" t="0" r="0" b="2540"/>
                        <wp:docPr id="2" name="Picture 2" descr="Z:\Graduate Studies--Common\Pictures\FURMAN 26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aduate Studies--Common\Pictures\FURMAN 268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82" cy="406696"/>
                                </a:xfrm>
                                <a:prstGeom prst="rect">
                                  <a:avLst/>
                                </a:prstGeom>
                                <a:noFill/>
                                <a:ln>
                                  <a:noFill/>
                                </a:ln>
                              </pic:spPr>
                            </pic:pic>
                          </a:graphicData>
                        </a:graphic>
                      </wp:inline>
                    </w:drawing>
                  </w:r>
                  <w:r>
                    <w:t xml:space="preserve"> </w:t>
                  </w:r>
                </w:p>
              </w:tc>
            </w:tr>
            <w:tr w:rsidR="00AA029B">
              <w:trPr>
                <w:trHeight w:hRule="exact" w:val="1440"/>
              </w:trPr>
              <w:tc>
                <w:tcPr>
                  <w:tcW w:w="7200" w:type="dxa"/>
                  <w:vAlign w:val="bottom"/>
                </w:tcPr>
                <w:p w:rsidR="00AA029B" w:rsidRDefault="00AA029B"/>
              </w:tc>
            </w:tr>
          </w:tbl>
          <w:p w:rsidR="00AA029B" w:rsidRDefault="00AA029B"/>
        </w:tc>
        <w:tc>
          <w:tcPr>
            <w:tcW w:w="144" w:type="dxa"/>
          </w:tcPr>
          <w:p w:rsidR="00AA029B" w:rsidRDefault="00AA029B"/>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AA029B" w:rsidTr="00C979A0">
              <w:trPr>
                <w:trHeight w:hRule="exact" w:val="10890"/>
              </w:trPr>
              <w:tc>
                <w:tcPr>
                  <w:tcW w:w="3446" w:type="dxa"/>
                  <w:shd w:val="clear" w:color="auto" w:fill="97C83C" w:themeFill="accent2"/>
                  <w:vAlign w:val="center"/>
                </w:tcPr>
                <w:p w:rsidR="008B5002" w:rsidRPr="008B5002" w:rsidRDefault="005B4F40" w:rsidP="005B4F40">
                  <w:pPr>
                    <w:pStyle w:val="Heading2"/>
                    <w:rPr>
                      <w:sz w:val="22"/>
                    </w:rPr>
                  </w:pPr>
                  <w:r w:rsidRPr="008B5002">
                    <w:rPr>
                      <w:sz w:val="22"/>
                    </w:rPr>
                    <w:t xml:space="preserve">Offered in the </w:t>
                  </w:r>
                </w:p>
                <w:p w:rsidR="008B750E" w:rsidRPr="008B750E" w:rsidRDefault="008B750E" w:rsidP="008B750E">
                  <w:pPr>
                    <w:pStyle w:val="Heading2"/>
                    <w:rPr>
                      <w:sz w:val="22"/>
                    </w:rPr>
                  </w:pPr>
                  <w:r>
                    <w:rPr>
                      <w:sz w:val="22"/>
                    </w:rPr>
                    <w:t>Spring 2018</w:t>
                  </w:r>
                  <w:r w:rsidR="005B4F40" w:rsidRPr="008B5002">
                    <w:rPr>
                      <w:sz w:val="22"/>
                    </w:rPr>
                    <w:t xml:space="preserve"> term at </w:t>
                  </w:r>
                  <w:r>
                    <w:rPr>
                      <w:sz w:val="22"/>
                    </w:rPr>
                    <w:t>University Center of Greenville</w:t>
                  </w:r>
                </w:p>
                <w:p w:rsidR="00AA029B" w:rsidRDefault="00AA029B">
                  <w:pPr>
                    <w:pStyle w:val="Line"/>
                  </w:pPr>
                </w:p>
                <w:p w:rsidR="00C979A0" w:rsidRDefault="008B750E">
                  <w:pPr>
                    <w:pStyle w:val="Heading2"/>
                    <w:rPr>
                      <w:sz w:val="24"/>
                    </w:rPr>
                  </w:pPr>
                  <w:r>
                    <w:rPr>
                      <w:sz w:val="24"/>
                    </w:rPr>
                    <w:t>4 Saturday meetings:  Jan 27</w:t>
                  </w:r>
                  <w:r w:rsidR="005B4F40" w:rsidRPr="005B4F40">
                    <w:rPr>
                      <w:sz w:val="24"/>
                    </w:rPr>
                    <w:t xml:space="preserve">, Feb </w:t>
                  </w:r>
                  <w:r>
                    <w:rPr>
                      <w:sz w:val="24"/>
                    </w:rPr>
                    <w:t>2</w:t>
                  </w:r>
                  <w:r w:rsidR="005B4F40" w:rsidRPr="005B4F40">
                    <w:rPr>
                      <w:sz w:val="24"/>
                    </w:rPr>
                    <w:t xml:space="preserve">4, </w:t>
                  </w:r>
                  <w:r w:rsidR="005B4F40">
                    <w:rPr>
                      <w:sz w:val="24"/>
                    </w:rPr>
                    <w:t xml:space="preserve">    </w:t>
                  </w:r>
                  <w:r>
                    <w:rPr>
                      <w:sz w:val="24"/>
                    </w:rPr>
                    <w:t>Mar 17</w:t>
                  </w:r>
                  <w:r w:rsidR="00C979A0">
                    <w:rPr>
                      <w:sz w:val="24"/>
                    </w:rPr>
                    <w:t>, Apr 1</w:t>
                  </w:r>
                  <w:r>
                    <w:rPr>
                      <w:sz w:val="24"/>
                    </w:rPr>
                    <w:t>4</w:t>
                  </w:r>
                  <w:r w:rsidR="005B4F40" w:rsidRPr="005B4F40">
                    <w:rPr>
                      <w:sz w:val="24"/>
                    </w:rPr>
                    <w:t xml:space="preserve">       </w:t>
                  </w:r>
                </w:p>
                <w:p w:rsidR="00AA029B" w:rsidRPr="005B4F40" w:rsidRDefault="008B750E" w:rsidP="00C979A0">
                  <w:pPr>
                    <w:pStyle w:val="Heading2"/>
                    <w:rPr>
                      <w:sz w:val="24"/>
                    </w:rPr>
                  </w:pPr>
                  <w:r>
                    <w:rPr>
                      <w:sz w:val="24"/>
                    </w:rPr>
                    <w:t>9:00AM-1:0</w:t>
                  </w:r>
                  <w:r w:rsidR="005B4F40" w:rsidRPr="005B4F40">
                    <w:rPr>
                      <w:sz w:val="24"/>
                    </w:rPr>
                    <w:t>0PM</w:t>
                  </w:r>
                </w:p>
                <w:p w:rsidR="005B4F40" w:rsidRPr="005B4F40" w:rsidRDefault="005B4F40" w:rsidP="005B4F40">
                  <w:pPr>
                    <w:pStyle w:val="Line"/>
                  </w:pPr>
                </w:p>
                <w:p w:rsidR="00AA029B" w:rsidRDefault="005B4F40">
                  <w:pPr>
                    <w:pStyle w:val="Heading2"/>
                  </w:pPr>
                  <w:r>
                    <w:t>Special reduced rate tuition o</w:t>
                  </w:r>
                  <w:r w:rsidR="008B750E">
                    <w:t xml:space="preserve">f $750 available for </w:t>
                  </w:r>
                  <w:proofErr w:type="gramStart"/>
                  <w:r w:rsidR="008B750E">
                    <w:t>Spring</w:t>
                  </w:r>
                  <w:proofErr w:type="gramEnd"/>
                  <w:r w:rsidR="008B750E">
                    <w:t xml:space="preserve"> 2018</w:t>
                  </w:r>
                </w:p>
                <w:p w:rsidR="00AA029B" w:rsidRDefault="00AA029B">
                  <w:pPr>
                    <w:pStyle w:val="Line"/>
                  </w:pPr>
                </w:p>
                <w:p w:rsidR="00AA029B" w:rsidRPr="00C979A0" w:rsidRDefault="00C979A0">
                  <w:pPr>
                    <w:pStyle w:val="Heading2"/>
                    <w:rPr>
                      <w:sz w:val="20"/>
                    </w:rPr>
                  </w:pPr>
                  <w:r>
                    <w:rPr>
                      <w:sz w:val="24"/>
                    </w:rPr>
                    <w:t>Application, registration, and payment due no later than Dec 1</w:t>
                  </w:r>
                  <w:r w:rsidR="008B750E">
                    <w:rPr>
                      <w:sz w:val="24"/>
                    </w:rPr>
                    <w:t>5</w:t>
                  </w:r>
                  <w:r>
                    <w:rPr>
                      <w:sz w:val="24"/>
                    </w:rPr>
                    <w:t>, 201</w:t>
                  </w:r>
                  <w:r w:rsidR="008B750E">
                    <w:rPr>
                      <w:sz w:val="24"/>
                    </w:rPr>
                    <w:t>7</w:t>
                  </w:r>
                  <w:r>
                    <w:rPr>
                      <w:sz w:val="24"/>
                    </w:rPr>
                    <w:t xml:space="preserve">       </w:t>
                  </w:r>
                  <w:r w:rsidRPr="00C979A0">
                    <w:rPr>
                      <w:sz w:val="16"/>
                    </w:rPr>
                    <w:t>*Late registration fee is $100*</w:t>
                  </w:r>
                </w:p>
                <w:p w:rsidR="00AA029B" w:rsidRDefault="00AA029B">
                  <w:pPr>
                    <w:pStyle w:val="Line"/>
                  </w:pPr>
                </w:p>
                <w:p w:rsidR="00C979A0" w:rsidRPr="00C979A0" w:rsidRDefault="00C979A0" w:rsidP="00C979A0">
                  <w:pPr>
                    <w:pStyle w:val="Heading2"/>
                    <w:rPr>
                      <w:sz w:val="20"/>
                    </w:rPr>
                  </w:pPr>
                  <w:r>
                    <w:rPr>
                      <w:sz w:val="20"/>
                    </w:rPr>
                    <w:t>This course is not funded by the SCDE.  No priority enrollment required.</w:t>
                  </w:r>
                </w:p>
              </w:tc>
            </w:tr>
            <w:tr w:rsidR="00AA029B">
              <w:trPr>
                <w:trHeight w:hRule="exact" w:val="144"/>
              </w:trPr>
              <w:tc>
                <w:tcPr>
                  <w:tcW w:w="3446" w:type="dxa"/>
                </w:tcPr>
                <w:p w:rsidR="00AA029B" w:rsidRDefault="00AA029B"/>
              </w:tc>
            </w:tr>
            <w:tr w:rsidR="00AA029B">
              <w:trPr>
                <w:trHeight w:hRule="exact" w:val="3456"/>
              </w:trPr>
              <w:tc>
                <w:tcPr>
                  <w:tcW w:w="3446" w:type="dxa"/>
                  <w:shd w:val="clear" w:color="auto" w:fill="E03177" w:themeFill="accent1"/>
                  <w:vAlign w:val="center"/>
                </w:tcPr>
                <w:p w:rsidR="00AA715C" w:rsidRDefault="00C979A0" w:rsidP="00AA715C">
                  <w:pPr>
                    <w:pStyle w:val="Heading3"/>
                    <w:spacing w:after="0"/>
                    <w:rPr>
                      <w:sz w:val="20"/>
                    </w:rPr>
                  </w:pPr>
                  <w:r w:rsidRPr="00C979A0">
                    <w:rPr>
                      <w:sz w:val="20"/>
                    </w:rPr>
                    <w:t xml:space="preserve">Contact </w:t>
                  </w:r>
                </w:p>
                <w:p w:rsidR="00AA715C" w:rsidRDefault="00C979A0" w:rsidP="00AA715C">
                  <w:pPr>
                    <w:pStyle w:val="Heading3"/>
                    <w:spacing w:after="0"/>
                    <w:rPr>
                      <w:sz w:val="20"/>
                    </w:rPr>
                  </w:pPr>
                  <w:r w:rsidRPr="00C979A0">
                    <w:rPr>
                      <w:sz w:val="20"/>
                    </w:rPr>
                    <w:t xml:space="preserve">helen reynolds in the office of graduate studies at </w:t>
                  </w:r>
                </w:p>
                <w:p w:rsidR="00AA715C" w:rsidRDefault="00C979A0" w:rsidP="00AA715C">
                  <w:pPr>
                    <w:pStyle w:val="Heading3"/>
                    <w:spacing w:after="0"/>
                    <w:rPr>
                      <w:sz w:val="20"/>
                    </w:rPr>
                  </w:pPr>
                  <w:r w:rsidRPr="00C979A0">
                    <w:rPr>
                      <w:sz w:val="20"/>
                    </w:rPr>
                    <w:t xml:space="preserve">FUrman university </w:t>
                  </w:r>
                </w:p>
                <w:p w:rsidR="00AA029B" w:rsidRDefault="00C979A0" w:rsidP="00AA715C">
                  <w:pPr>
                    <w:pStyle w:val="Heading3"/>
                    <w:spacing w:after="0"/>
                    <w:rPr>
                      <w:sz w:val="20"/>
                    </w:rPr>
                  </w:pPr>
                  <w:r w:rsidRPr="00C979A0">
                    <w:rPr>
                      <w:sz w:val="20"/>
                    </w:rPr>
                    <w:t>to apply</w:t>
                  </w:r>
                  <w:r w:rsidR="003C0A81">
                    <w:rPr>
                      <w:sz w:val="20"/>
                    </w:rPr>
                    <w:t xml:space="preserve"> &amp; register</w:t>
                  </w:r>
                </w:p>
                <w:p w:rsidR="00C979A0" w:rsidRPr="00C979A0" w:rsidRDefault="00C979A0" w:rsidP="00C979A0">
                  <w:pPr>
                    <w:rPr>
                      <w:sz w:val="2"/>
                    </w:rPr>
                  </w:pPr>
                </w:p>
                <w:p w:rsidR="00AA029B" w:rsidRPr="00C979A0" w:rsidRDefault="008B750E">
                  <w:pPr>
                    <w:pStyle w:val="ContactInfo"/>
                    <w:rPr>
                      <w:sz w:val="22"/>
                    </w:rPr>
                  </w:pPr>
                  <w:sdt>
                    <w:sdtPr>
                      <w:rPr>
                        <w:sz w:val="22"/>
                      </w:rPr>
                      <w:id w:val="857003158"/>
                      <w:placeholder>
                        <w:docPart w:val="DE4DBF55667443C7A92988A6F0B664B9"/>
                      </w:placeholder>
                      <w15:appearance w15:val="hidden"/>
                      <w:text w:multiLine="1"/>
                    </w:sdtPr>
                    <w:sdtEndPr/>
                    <w:sdtContent>
                      <w:r w:rsidR="00C979A0" w:rsidRPr="00C979A0">
                        <w:rPr>
                          <w:sz w:val="22"/>
                        </w:rPr>
                        <w:t>helen.reynolds@furman.edu</w:t>
                      </w:r>
                    </w:sdtContent>
                  </w:sdt>
                </w:p>
                <w:p w:rsidR="00AA029B" w:rsidRPr="00C979A0" w:rsidRDefault="00C979A0">
                  <w:pPr>
                    <w:pStyle w:val="ContactInfo"/>
                    <w:rPr>
                      <w:sz w:val="20"/>
                    </w:rPr>
                  </w:pPr>
                  <w:r w:rsidRPr="00C979A0">
                    <w:rPr>
                      <w:sz w:val="20"/>
                    </w:rPr>
                    <w:t>www.furman.edu/gradstudies</w:t>
                  </w:r>
                </w:p>
                <w:p w:rsidR="00AA029B" w:rsidRDefault="00C979A0" w:rsidP="008B750E">
                  <w:pPr>
                    <w:pStyle w:val="Date"/>
                  </w:pPr>
                  <w:r>
                    <w:t>864-294-</w:t>
                  </w:r>
                  <w:r w:rsidR="008B750E">
                    <w:t>3063</w:t>
                  </w:r>
                </w:p>
              </w:tc>
            </w:tr>
          </w:tbl>
          <w:p w:rsidR="00AA029B" w:rsidRDefault="00AA029B"/>
        </w:tc>
      </w:tr>
    </w:tbl>
    <w:p w:rsidR="00AA029B" w:rsidRDefault="00AA029B">
      <w:pPr>
        <w:pStyle w:val="NoSpacing"/>
      </w:pPr>
    </w:p>
    <w:sectPr w:rsidR="00AA029B">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40"/>
    <w:rsid w:val="00025114"/>
    <w:rsid w:val="001F5D53"/>
    <w:rsid w:val="00264796"/>
    <w:rsid w:val="003C0A81"/>
    <w:rsid w:val="005B4F40"/>
    <w:rsid w:val="008B5002"/>
    <w:rsid w:val="008B750E"/>
    <w:rsid w:val="00AA029B"/>
    <w:rsid w:val="00AA715C"/>
    <w:rsid w:val="00B64019"/>
    <w:rsid w:val="00C979A0"/>
    <w:rsid w:val="00CE12B1"/>
    <w:rsid w:val="00D7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BD641D0-377B-4F1B-B1B9-1087CFE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eynolds\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4DBF55667443C7A92988A6F0B664B9"/>
        <w:category>
          <w:name w:val="General"/>
          <w:gallery w:val="placeholder"/>
        </w:category>
        <w:types>
          <w:type w:val="bbPlcHdr"/>
        </w:types>
        <w:behaviors>
          <w:behavior w:val="content"/>
        </w:behaviors>
        <w:guid w:val="{76C19078-CFA8-40A9-BB45-53C44C822146}"/>
      </w:docPartPr>
      <w:docPartBody>
        <w:p w:rsidR="00AE7E40" w:rsidRDefault="00CA5023">
          <w:pPr>
            <w:pStyle w:val="DE4DBF55667443C7A92988A6F0B664B9"/>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23"/>
    <w:rsid w:val="001C0253"/>
    <w:rsid w:val="00696C07"/>
    <w:rsid w:val="00AD6270"/>
    <w:rsid w:val="00AE7E40"/>
    <w:rsid w:val="00CA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84FF9326A24BB7A43FE637C035A0DA">
    <w:name w:val="3784FF9326A24BB7A43FE637C035A0DA"/>
  </w:style>
  <w:style w:type="paragraph" w:customStyle="1" w:styleId="9B11A7275BC0413DA05D6D028F756C75">
    <w:name w:val="9B11A7275BC0413DA05D6D028F756C75"/>
  </w:style>
  <w:style w:type="paragraph" w:customStyle="1" w:styleId="EFD9509CFD6842C390E413C2BF0C2829">
    <w:name w:val="EFD9509CFD6842C390E413C2BF0C2829"/>
  </w:style>
  <w:style w:type="paragraph" w:customStyle="1" w:styleId="F73E021621044126985ABEAFA9D5F1DB">
    <w:name w:val="F73E021621044126985ABEAFA9D5F1DB"/>
  </w:style>
  <w:style w:type="paragraph" w:customStyle="1" w:styleId="B4E26971A2E645E2A9968B7867054DD0">
    <w:name w:val="B4E26971A2E645E2A9968B7867054DD0"/>
  </w:style>
  <w:style w:type="paragraph" w:customStyle="1" w:styleId="3131C960326F452A8C33C63EE006791D">
    <w:name w:val="3131C960326F452A8C33C63EE006791D"/>
  </w:style>
  <w:style w:type="paragraph" w:customStyle="1" w:styleId="C26900ACE01E4B07974EB225A95FECEC">
    <w:name w:val="C26900ACE01E4B07974EB225A95FECEC"/>
  </w:style>
  <w:style w:type="paragraph" w:customStyle="1" w:styleId="5C60437F9CBA4350819D3045A27C44A5">
    <w:name w:val="5C60437F9CBA4350819D3045A27C44A5"/>
  </w:style>
  <w:style w:type="paragraph" w:customStyle="1" w:styleId="97251B7B6B7F4D00AFCACF741887FF30">
    <w:name w:val="97251B7B6B7F4D00AFCACF741887FF30"/>
  </w:style>
  <w:style w:type="paragraph" w:customStyle="1" w:styleId="D77C30AF62074F268650DB98EF213405">
    <w:name w:val="D77C30AF62074F268650DB98EF213405"/>
  </w:style>
  <w:style w:type="paragraph" w:customStyle="1" w:styleId="DE4DBF55667443C7A92988A6F0B664B9">
    <w:name w:val="DE4DBF55667443C7A92988A6F0B664B9"/>
  </w:style>
  <w:style w:type="paragraph" w:customStyle="1" w:styleId="8427B1BB71C8470EA2052E2203F4E9D1">
    <w:name w:val="8427B1BB71C8470EA2052E2203F4E9D1"/>
  </w:style>
  <w:style w:type="paragraph" w:customStyle="1" w:styleId="211EE69CCB0D4C808C6953706B0833E4">
    <w:name w:val="211EE69CCB0D4C808C6953706B083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flyer.dotx</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Reynolds</dc:creator>
  <cp:keywords/>
  <dc:description/>
  <cp:lastModifiedBy>Helen Reynolds</cp:lastModifiedBy>
  <cp:revision>2</cp:revision>
  <cp:lastPrinted>2014-09-10T17:43:00Z</cp:lastPrinted>
  <dcterms:created xsi:type="dcterms:W3CDTF">2017-10-19T13:31:00Z</dcterms:created>
  <dcterms:modified xsi:type="dcterms:W3CDTF">2017-10-19T13:31:00Z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